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150" w:after="150" w:line="240" w:lineRule="auto"/>
        <w:rPr>
          <w:rFonts w:ascii="Times New Roman" w:hAnsi="Times New Roman"/>
          <w:sz w:val="28"/>
          <w:szCs w:val="28"/>
          <w:lang w:eastAsia="ru-RU"/>
        </w:rPr>
        <w:outlineLvl w:val="3"/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spacing w:before="150" w:after="150" w:line="240" w:lineRule="auto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  <w:outlineLvl w:val="3"/>
      </w:pP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  <w:r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утверждении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«Выдача разрешений на установку и эксплуатацию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рекламных конструкций, аннулирование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ранее выданных разрешений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Московской области»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12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</w:t>
      </w:r>
      <w:r>
        <w:rPr>
          <w:rFonts w:ascii="Times New Roman" w:hAnsi="Times New Roman"/>
          <w:sz w:val="28"/>
          <w:szCs w:val="28"/>
          <w:lang w:eastAsia="ru-RU"/>
        </w:rPr>
        <w:t xml:space="preserve">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26</w:t>
      </w:r>
      <w:r>
        <w:rPr>
          <w:rFonts w:ascii="Times New Roman" w:hAnsi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</w:t>
      </w:r>
      <w:hyperlink r:id="rId10" w:tooltip="consultantplus://offline/ref=B2BFB41DEE9DF03C034835AB0D20DF7978DE6A289E0542F9936B74E4D5FDFCCBEA93A3D735958CC0d4D5P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 административных регламентов предоставления государственных услуг»,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9, 42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а Мытищи Московской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округа Мытищи Московской области» (прилагается).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Ответственным структурным подразделением за предоставление муниципальной услуги в соответствии с административным регламентом определить управление градостроительного развития Администрации городского округа Мытищи.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Признать утратившим силу постановление Администрации городского округа Мытищи Московской области от 20.01.2020 №1</w:t>
      </w:r>
      <w:r>
        <w:rPr>
          <w:rFonts w:ascii="Times New Roman" w:hAnsi="Times New Roman"/>
          <w:sz w:val="28"/>
          <w:szCs w:val="28"/>
          <w:lang w:eastAsia="ru-RU"/>
        </w:rPr>
        <w:t xml:space="preserve">32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Мытищи Московской области».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262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</w:t>
      </w:r>
      <w:r>
        <w:rPr>
          <w:rFonts w:ascii="Times New Roman" w:hAnsi="Times New Roman"/>
          <w:sz w:val="28"/>
          <w:szCs w:val="28"/>
          <w:lang w:eastAsia="ru-RU"/>
        </w:rPr>
        <w:t xml:space="preserve">обнародованию путем                         его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органов местного самоуправления городского округа Мытищи.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262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 (функций)», в государственной информационной системе Московской области «Портал государственных и муниципальных услуг (функций) Московской области».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49"/>
        <w:jc w:val="both"/>
        <w:spacing w:after="0" w:line="240" w:lineRule="auto"/>
        <w:widowControl w:val="off"/>
        <w:tabs>
          <w:tab w:val="left" w:pos="0" w:leader="none"/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6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>
        <w:rPr>
          <w:rFonts w:ascii="Times New Roman" w:hAnsi="Times New Roman"/>
          <w:sz w:val="28"/>
          <w:szCs w:val="28"/>
          <w:lang w:eastAsia="ru-RU"/>
        </w:rPr>
        <w:t xml:space="preserve">А.Г. Асеева.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Ю.О. Купецкая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680" w:bottom="181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4"/>
    <w:uiPriority w:val="99"/>
  </w:style>
  <w:style w:type="character" w:styleId="45">
    <w:name w:val="Footer Char"/>
    <w:basedOn w:val="658"/>
    <w:link w:val="666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spacing w:after="160" w:line="259" w:lineRule="auto"/>
    </w:pPr>
    <w:rPr>
      <w:lang w:eastAsia="en-US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663">
    <w:name w:val="List Paragraph"/>
    <w:basedOn w:val="657"/>
    <w:uiPriority w:val="34"/>
    <w:qFormat/>
    <w:pPr>
      <w:contextualSpacing/>
      <w:ind w:left="720"/>
    </w:pPr>
  </w:style>
  <w:style w:type="paragraph" w:styleId="664">
    <w:name w:val="Header"/>
    <w:basedOn w:val="657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58"/>
    <w:link w:val="664"/>
    <w:uiPriority w:val="99"/>
    <w:rPr>
      <w:lang w:eastAsia="en-US"/>
    </w:rPr>
  </w:style>
  <w:style w:type="paragraph" w:styleId="666">
    <w:name w:val="Footer"/>
    <w:basedOn w:val="657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58"/>
    <w:link w:val="666"/>
    <w:uiPriority w:val="99"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B2BFB41DEE9DF03C034835AB0D20DF7978DE6A289E0542F9936B74E4D5FDFCCBEA93A3D735958CC0d4D5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49DD-E396-4455-8294-B9A44E34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Силуянова Антонина</cp:lastModifiedBy>
  <cp:revision>943</cp:revision>
  <dcterms:created xsi:type="dcterms:W3CDTF">2016-03-14T07:25:00Z</dcterms:created>
  <dcterms:modified xsi:type="dcterms:W3CDTF">2024-08-14T09:57:43Z</dcterms:modified>
</cp:coreProperties>
</file>